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0" w:rsidRPr="00090FE0" w:rsidRDefault="00704050" w:rsidP="00704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FE0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p w:rsidR="00704050" w:rsidRPr="00500F7E" w:rsidRDefault="00704050" w:rsidP="00EE6166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0F7E"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r w:rsidR="00EE6166" w:rsidRPr="00500F7E">
        <w:rPr>
          <w:rFonts w:ascii="Times New Roman" w:hAnsi="Times New Roman" w:cs="Times New Roman"/>
          <w:sz w:val="24"/>
          <w:szCs w:val="24"/>
        </w:rPr>
        <w:t>Родионова Евгения Олеговича</w:t>
      </w:r>
      <w:r w:rsidRPr="00500F7E">
        <w:rPr>
          <w:rFonts w:ascii="Times New Roman" w:hAnsi="Times New Roman" w:cs="Times New Roman"/>
          <w:sz w:val="24"/>
          <w:szCs w:val="24"/>
        </w:rPr>
        <w:t xml:space="preserve"> «</w:t>
      </w:r>
      <w:r w:rsidR="00EE6166" w:rsidRPr="00500F7E">
        <w:rPr>
          <w:rFonts w:ascii="Times New Roman" w:hAnsi="Times New Roman" w:cs="Times New Roman"/>
          <w:sz w:val="24"/>
          <w:szCs w:val="24"/>
        </w:rPr>
        <w:t xml:space="preserve">Комбинированное лечение немелкоклеточного рака легкого </w:t>
      </w:r>
      <w:r w:rsidR="00EE6166" w:rsidRPr="00500F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E6166" w:rsidRPr="00500F7E">
        <w:rPr>
          <w:rFonts w:ascii="Times New Roman" w:hAnsi="Times New Roman" w:cs="Times New Roman"/>
          <w:sz w:val="24"/>
          <w:szCs w:val="24"/>
        </w:rPr>
        <w:t xml:space="preserve"> стадии </w:t>
      </w:r>
      <w:r w:rsidR="00757A82">
        <w:rPr>
          <w:rFonts w:ascii="Times New Roman" w:hAnsi="Times New Roman" w:cs="Times New Roman"/>
          <w:sz w:val="24"/>
          <w:szCs w:val="24"/>
        </w:rPr>
        <w:t>с</w:t>
      </w:r>
      <w:r w:rsidR="00EE6166" w:rsidRPr="00500F7E">
        <w:rPr>
          <w:rFonts w:ascii="Times New Roman" w:hAnsi="Times New Roman" w:cs="Times New Roman"/>
          <w:sz w:val="24"/>
          <w:szCs w:val="24"/>
        </w:rPr>
        <w:t xml:space="preserve"> предоперационной химиотерапией </w:t>
      </w:r>
      <w:r w:rsidR="00757A82">
        <w:rPr>
          <w:rFonts w:ascii="Times New Roman" w:hAnsi="Times New Roman" w:cs="Times New Roman"/>
          <w:sz w:val="24"/>
          <w:szCs w:val="24"/>
        </w:rPr>
        <w:t>и</w:t>
      </w:r>
      <w:r w:rsidR="00EE6166" w:rsidRPr="00500F7E">
        <w:rPr>
          <w:rFonts w:ascii="Times New Roman" w:hAnsi="Times New Roman" w:cs="Times New Roman"/>
          <w:sz w:val="24"/>
          <w:szCs w:val="24"/>
        </w:rPr>
        <w:t xml:space="preserve"> персонализированным назначением адъювантной химиотерапии</w:t>
      </w:r>
      <w:r w:rsidRPr="00500F7E">
        <w:rPr>
          <w:rFonts w:ascii="Times New Roman" w:hAnsi="Times New Roman" w:cs="Times New Roman"/>
          <w:sz w:val="24"/>
          <w:szCs w:val="24"/>
        </w:rPr>
        <w:t>» представленной на соискание ученой степени кандидата медицинских наук по специальности:</w:t>
      </w:r>
      <w:r w:rsidR="00EE6166" w:rsidRPr="00500F7E">
        <w:rPr>
          <w:rFonts w:ascii="Times New Roman" w:hAnsi="Times New Roman" w:cs="Times New Roman"/>
          <w:sz w:val="24"/>
          <w:szCs w:val="24"/>
        </w:rPr>
        <w:t xml:space="preserve"> 14.01.12 – онкология, отрасль науки - медицинские науки </w:t>
      </w:r>
    </w:p>
    <w:p w:rsidR="00EE6166" w:rsidRPr="00090FE0" w:rsidRDefault="00EE6166" w:rsidP="00090FE0">
      <w:pPr>
        <w:spacing w:after="0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25"/>
        <w:gridCol w:w="3995"/>
        <w:gridCol w:w="4825"/>
      </w:tblGrid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825" w:type="dxa"/>
          </w:tcPr>
          <w:p w:rsidR="00704050" w:rsidRPr="000F3C71" w:rsidRDefault="00EE6166" w:rsidP="00090FE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F3C71">
              <w:rPr>
                <w:rFonts w:ascii="Times New Roman" w:hAnsi="Times New Roman" w:cs="Times New Roman"/>
                <w:bCs/>
                <w:shd w:val="clear" w:color="auto" w:fill="FFFFFF"/>
              </w:rPr>
              <w:t>Авдалян Ашот Меружанович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043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4825" w:type="dxa"/>
          </w:tcPr>
          <w:p w:rsidR="00704050" w:rsidRPr="000F3C71" w:rsidRDefault="00DE0431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Ученая степень (с указанием шифра специальности / специальностей и отрасли науки, по которым защищена диссертация)</w:t>
            </w:r>
          </w:p>
        </w:tc>
        <w:tc>
          <w:tcPr>
            <w:tcW w:w="4825" w:type="dxa"/>
          </w:tcPr>
          <w:p w:rsidR="00090FE0" w:rsidRPr="000F3C71" w:rsidRDefault="00090FE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 xml:space="preserve">доктор медицинских наук, </w:t>
            </w:r>
          </w:p>
          <w:p w:rsidR="00704050" w:rsidRPr="000F3C71" w:rsidRDefault="00090FE0" w:rsidP="00090F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специальность 14.03.02 -патологическая анатомия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Ученое звание:</w:t>
            </w:r>
          </w:p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(по какой кафедре / по какой специальности)</w:t>
            </w:r>
          </w:p>
        </w:tc>
        <w:tc>
          <w:tcPr>
            <w:tcW w:w="4825" w:type="dxa"/>
          </w:tcPr>
          <w:p w:rsidR="00704050" w:rsidRPr="000F3C71" w:rsidRDefault="00500F7E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нет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Почтовый адрес с указанием индекса</w:t>
            </w:r>
          </w:p>
        </w:tc>
        <w:tc>
          <w:tcPr>
            <w:tcW w:w="4825" w:type="dxa"/>
          </w:tcPr>
          <w:p w:rsidR="00704050" w:rsidRPr="000F3C71" w:rsidRDefault="00B73865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656049, Россия, Алтайский край, </w:t>
            </w:r>
            <w:proofErr w:type="gramStart"/>
            <w:r w:rsidR="00090FE0" w:rsidRPr="000F3C7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End"/>
            <w:r w:rsidR="00090FE0" w:rsidRPr="000F3C71">
              <w:rPr>
                <w:rFonts w:ascii="Times New Roman" w:hAnsi="Times New Roman" w:cs="Times New Roman"/>
                <w:shd w:val="clear" w:color="auto" w:fill="FFFFFF"/>
              </w:rPr>
              <w:t>. Барнаул, ул. Никитина, 77 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825" w:type="dxa"/>
          </w:tcPr>
          <w:p w:rsidR="00704050" w:rsidRPr="000F3C71" w:rsidRDefault="00090FE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3865">
              <w:rPr>
                <w:rFonts w:ascii="Times New Roman" w:hAnsi="Times New Roman" w:cs="Times New Roman"/>
                <w:bCs/>
                <w:shd w:val="clear" w:color="auto" w:fill="FFFFFF"/>
              </w:rPr>
              <w:t>+7 (3852) 63-26-20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825" w:type="dxa"/>
          </w:tcPr>
          <w:p w:rsidR="00704050" w:rsidRPr="00B73865" w:rsidRDefault="00090FE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  <w:shd w:val="clear" w:color="auto" w:fill="FFFFFF"/>
              </w:rPr>
              <w:t>ashot_avdalyan@mail.ru</w:t>
            </w:r>
          </w:p>
        </w:tc>
      </w:tr>
      <w:tr w:rsidR="00090FE0" w:rsidRPr="000F3C71" w:rsidTr="00D35FCA"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Место основной работы (полное наименование организации в соответствии с уставом)</w:t>
            </w:r>
          </w:p>
        </w:tc>
        <w:tc>
          <w:tcPr>
            <w:tcW w:w="4825" w:type="dxa"/>
          </w:tcPr>
          <w:p w:rsidR="00704050" w:rsidRPr="000F3C71" w:rsidRDefault="00090FE0" w:rsidP="00090F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  <w:shd w:val="clear" w:color="auto" w:fill="FFFFFF"/>
              </w:rPr>
              <w:t xml:space="preserve">Федеральное государственное бюджетное учреждение «Национальный медицинский исследовательский центр онкологии им. Н.Н. Блохина» Министерства здравоохранения Российской Федерации, </w:t>
            </w:r>
            <w:r w:rsidRPr="000F3C71">
              <w:rPr>
                <w:rFonts w:ascii="Times New Roman" w:hAnsi="Times New Roman" w:cs="Times New Roman"/>
              </w:rPr>
              <w:t>Алтайский филиал</w:t>
            </w:r>
          </w:p>
        </w:tc>
      </w:tr>
      <w:tr w:rsidR="00090FE0" w:rsidRPr="000F3C71" w:rsidTr="00D35FCA">
        <w:tblPrEx>
          <w:tblLook w:val="0000"/>
        </w:tblPrEx>
        <w:trPr>
          <w:trHeight w:val="351"/>
        </w:trPr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Наименование подразделения</w:t>
            </w:r>
          </w:p>
        </w:tc>
        <w:tc>
          <w:tcPr>
            <w:tcW w:w="4825" w:type="dxa"/>
          </w:tcPr>
          <w:p w:rsidR="00704050" w:rsidRPr="000F3C71" w:rsidRDefault="00D35FCA" w:rsidP="00D35F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Л</w:t>
            </w:r>
            <w:r w:rsidR="00090FE0" w:rsidRPr="000F3C71">
              <w:rPr>
                <w:rFonts w:ascii="Times New Roman" w:hAnsi="Times New Roman" w:cs="Times New Roman"/>
              </w:rPr>
              <w:t>аборатория</w:t>
            </w:r>
            <w:r w:rsidRPr="000F3C71">
              <w:rPr>
                <w:rFonts w:ascii="Times New Roman" w:hAnsi="Times New Roman" w:cs="Times New Roman"/>
              </w:rPr>
              <w:t xml:space="preserve"> </w:t>
            </w:r>
            <w:r w:rsidR="00090FE0" w:rsidRPr="000F3C71">
              <w:rPr>
                <w:rFonts w:ascii="Times New Roman" w:hAnsi="Times New Roman" w:cs="Times New Roman"/>
              </w:rPr>
              <w:t>исследований молекулярно-генетических</w:t>
            </w:r>
            <w:r w:rsidRPr="000F3C71">
              <w:rPr>
                <w:rFonts w:ascii="Times New Roman" w:hAnsi="Times New Roman" w:cs="Times New Roman"/>
              </w:rPr>
              <w:t xml:space="preserve"> </w:t>
            </w:r>
            <w:r w:rsidR="00090FE0" w:rsidRPr="000F3C71">
              <w:rPr>
                <w:rFonts w:ascii="Times New Roman" w:hAnsi="Times New Roman" w:cs="Times New Roman"/>
              </w:rPr>
              <w:t>характеристик опухолей</w:t>
            </w:r>
          </w:p>
        </w:tc>
      </w:tr>
      <w:tr w:rsidR="00090FE0" w:rsidRPr="000F3C71" w:rsidTr="00D35FCA">
        <w:tblPrEx>
          <w:tblLook w:val="0000"/>
        </w:tblPrEx>
        <w:trPr>
          <w:trHeight w:val="374"/>
        </w:trPr>
        <w:tc>
          <w:tcPr>
            <w:tcW w:w="4520" w:type="dxa"/>
            <w:gridSpan w:val="2"/>
          </w:tcPr>
          <w:p w:rsidR="00704050" w:rsidRPr="000F3C71" w:rsidRDefault="00704050" w:rsidP="00090FE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825" w:type="dxa"/>
          </w:tcPr>
          <w:p w:rsidR="00704050" w:rsidRPr="000F3C71" w:rsidRDefault="00090FE0" w:rsidP="00090FE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090FE0" w:rsidRPr="000F3C71" w:rsidTr="00D35FCA">
        <w:tblPrEx>
          <w:tblLook w:val="0000"/>
        </w:tblPrEx>
        <w:trPr>
          <w:trHeight w:val="279"/>
        </w:trPr>
        <w:tc>
          <w:tcPr>
            <w:tcW w:w="9345" w:type="dxa"/>
            <w:gridSpan w:val="3"/>
          </w:tcPr>
          <w:p w:rsidR="00704050" w:rsidRPr="000F3C71" w:rsidRDefault="00704050" w:rsidP="00427E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4050" w:rsidRPr="000F3C71" w:rsidRDefault="00704050" w:rsidP="00500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C71">
              <w:rPr>
                <w:rFonts w:ascii="Times New Roman" w:hAnsi="Times New Roman" w:cs="Times New Roman"/>
                <w:b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  <w:p w:rsidR="00500F7E" w:rsidRPr="000F3C71" w:rsidRDefault="00500F7E" w:rsidP="00500F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0FE0" w:rsidRPr="00DE0431" w:rsidTr="00D35FCA">
        <w:tblPrEx>
          <w:tblLook w:val="0000"/>
        </w:tblPrEx>
        <w:trPr>
          <w:trHeight w:val="339"/>
        </w:trPr>
        <w:tc>
          <w:tcPr>
            <w:tcW w:w="525" w:type="dxa"/>
          </w:tcPr>
          <w:p w:rsidR="00704050" w:rsidRPr="000F3C71" w:rsidRDefault="00704050" w:rsidP="00427E00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0" w:type="dxa"/>
            <w:gridSpan w:val="2"/>
          </w:tcPr>
          <w:p w:rsidR="00704050" w:rsidRPr="000F3C71" w:rsidRDefault="00090FE0" w:rsidP="00090FE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Demidova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I.,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Grinevich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V.,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Gikalo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M.,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Savelov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N.,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Avdalian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A.,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Samuilenkova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O.,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Imyanitov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E.,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Tiurin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V.,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Novikova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I.,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Ulianova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E.,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Tsimafeyeu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I.,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Tjulandin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S. Detection of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alk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rearrangements in 4002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russian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patients: the utility of different diagnostic approaches // Lung Cancer. - 2017. - Vol. 103. - P. 17-23.</w:t>
            </w:r>
          </w:p>
        </w:tc>
      </w:tr>
      <w:tr w:rsidR="00090FE0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704050" w:rsidRPr="000F3C71" w:rsidRDefault="00704050" w:rsidP="00427E00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0" w:type="dxa"/>
            <w:gridSpan w:val="2"/>
          </w:tcPr>
          <w:p w:rsidR="00704050" w:rsidRPr="000F3C71" w:rsidRDefault="00090FE0" w:rsidP="00090F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Панасьян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А.У., Кобяков Д.С., Авдалян А.М., Иванов А.А., Лушникова Е.Л.,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Бакарев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М.А., Лазарев А.Ф. Экспрессия маркёров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апоптоза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(p53, bcl-2,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bax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) и пролиферации (ki-67,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топоизомеразы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IIα,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аргирофильных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белков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ядрышкообразующих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районов) в норме и при немелкоклеточном раке лёгкого и их взаимосвязь с некоторыми клинико-морфологическими параметрами // Российский онкологический журнал. - 2017. - Т. 22, № 3. - С. 153-157.</w:t>
            </w:r>
          </w:p>
        </w:tc>
      </w:tr>
      <w:tr w:rsidR="00090FE0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704050" w:rsidRPr="000F3C71" w:rsidRDefault="00704050" w:rsidP="00427E00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0" w:type="dxa"/>
            <w:gridSpan w:val="2"/>
          </w:tcPr>
          <w:p w:rsidR="00704050" w:rsidRPr="000F3C71" w:rsidRDefault="00090FE0" w:rsidP="00090F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Авдалян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А.М.,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Панасьян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А.У., Иванов А.А.,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Самуйленкова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О.В.,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Бахарев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С.Ю.,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Близнюк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А.С., Лазарев А.Ф. Прогностическая значимость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реаранжировки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EML4-ALK при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аденокарциноме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лёгкого TI-IIN0-1M0 стадии во взаимосвязи с некоторыми клинико-морфологическими параметрами // Российский онкологический журнал. - 2017. - Т. 22, № 4. - С. 194-197.</w:t>
            </w:r>
          </w:p>
        </w:tc>
      </w:tr>
      <w:tr w:rsidR="00090FE0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704050" w:rsidRPr="000F3C71" w:rsidRDefault="00704050" w:rsidP="00427E00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0" w:type="dxa"/>
            <w:gridSpan w:val="2"/>
          </w:tcPr>
          <w:p w:rsidR="00704050" w:rsidRPr="000F3C71" w:rsidRDefault="00090FE0" w:rsidP="00090F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Панасьян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А.У., Кобяков Д.С., Авдалян А.М., Иванов А.А., Лушникова Е.Л.,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Бакарев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М.А., Лазарев А.Ф. Взаимосвязь экспрессии белков ALK, HER2 и амплификации гена HER2 с пролиферативной активностью и выживаемостью при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аденокарциноме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лёгкого I-II стадии // Российский онкологический журнал. - 2017. - Т. 22, № 4. - С. 209-213.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0" w:type="dxa"/>
            <w:gridSpan w:val="2"/>
          </w:tcPr>
          <w:p w:rsidR="00D35FCA" w:rsidRPr="00B73865" w:rsidRDefault="00D35FCA" w:rsidP="00D35FC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Кобяков Д.С.,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Авдалян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А.М.,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Климачев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В.В., Лазарев А.Ф., Лушникова Е.Л., Непомнящих Л.М. Немелкоклеточный рак легкого: статус онкогена HER2 // Архив патологии. - 2015. - </w:t>
            </w:r>
            <w:r w:rsidRPr="000F3C71">
              <w:rPr>
                <w:rFonts w:ascii="Times New Roman" w:hAnsi="Times New Roman" w:cs="Times New Roman"/>
                <w:bCs/>
              </w:rPr>
              <w:lastRenderedPageBreak/>
              <w:t>Т. 77, № 2. - С. 3-9.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Авдалян А.М., Кобяков Д.С., Лазарев А.Ф., Бычкова Е.Ю., Лушникова Е.Л., Непомнящих Л.М. Экспрессия маркеров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апоптоза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(p53, bcl-2,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bax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) и пролиферации (ki-67,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топоизомеразы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IIa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AG-ЯОР-белков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>) в норме и при немелкоклеточном раке легкого // Российский онкологический журнал. - 2015. - Т. 20, № 4. - С. 18-19.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Лазарев А.Ф., Кобяков Д.С., Авдалян А.М., Бычкова Е.Ю., Лушникова Е.Л., Непомнящих Л.М. Взаимосвязь маркеров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апоптоза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(p53, bcl-2,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bax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>) с клинико-морфологическими параметрами и выживаемостью при немелкоклеточном раке легкого // Российский онкологический журнал. - 2015. - Т. 20, № 4. - С. 29-30.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ind w:right="-1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Кобяков Д.С., Авдалян А.М., Лазарев А.Ф., Лушникова Е.Л., Непомнящих Л.М. Процессы пролиферации,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апоптоза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ангиогенеза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в патологически неизмененном легком и при немелкоклеточном раке легкого // Морфология. - 2015. - Т. 148, № 5. - С. 65-70.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Кобяков Д.С., Авдалян А.М., Лазарев А.Ф., Лушникова Е.Л., Непомнящих Л.М. Взаимосвязь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аргирофильных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белков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ядрышкообразующих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районов в MIB-1 позитивных клетках с клинико-морфологическими параметрами и выживаемостью при немелкоклеточном раке легкого // Фундаментальные исследования. - 2015. - № 1-8. - С. 1600-1604.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Kobyakov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D.S.,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Avdalyan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A.M.,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Bobrov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I.P.,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Bychkova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E.Y.,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Kruglova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N.M.,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Lazarev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A.F.,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Klimachev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V.V.,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Lushnikova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E.L.,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Nepomnyashchikh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L.M.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Argyrophilic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proteins of nucleolar organizer regions and proliferative activity of cells in squamous cell carcinoma of the lung // Bulletin of Experimental Biology and Medicine. - 2014. </w:t>
            </w:r>
            <w:r w:rsidRPr="000F3C71">
              <w:rPr>
                <w:rFonts w:ascii="Times New Roman" w:hAnsi="Times New Roman" w:cs="Times New Roman"/>
                <w:bCs/>
              </w:rPr>
              <w:t>Т. 157. № 5. С. 677-682.</w:t>
            </w:r>
          </w:p>
        </w:tc>
      </w:tr>
      <w:tr w:rsidR="00D35FCA" w:rsidRPr="000F3C71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3C71">
              <w:rPr>
                <w:rFonts w:ascii="Times New Roman" w:hAnsi="Times New Roman" w:cs="Times New Roman"/>
                <w:bCs/>
              </w:rPr>
              <w:t xml:space="preserve">Кобяков Д.С.,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Климачев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В.В.,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Авдалян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А.М., Бобров И.П., Лазарев А.Ф., Лушникова Е.Л., Непомнящих Л.М. Исследование уровня экспрессии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топоизомеразы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IIa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во взаимосвязи с клинико-морфологическими параметрами и пролиферацией (по выявлению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ар-гирофильных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белков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ядрышкообразующих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районов и антигена ki-67) при </w:t>
            </w:r>
            <w:proofErr w:type="spellStart"/>
            <w:r w:rsidRPr="000F3C71">
              <w:rPr>
                <w:rFonts w:ascii="Times New Roman" w:hAnsi="Times New Roman" w:cs="Times New Roman"/>
                <w:bCs/>
              </w:rPr>
              <w:t>аденокарциноме</w:t>
            </w:r>
            <w:proofErr w:type="spellEnd"/>
            <w:r w:rsidRPr="000F3C71">
              <w:rPr>
                <w:rFonts w:ascii="Times New Roman" w:hAnsi="Times New Roman" w:cs="Times New Roman"/>
                <w:bCs/>
              </w:rPr>
              <w:t xml:space="preserve"> легкого // Вопросы онкологии. - 2014. - Т. 60, № 2 (114). - С. 63-68.</w:t>
            </w:r>
          </w:p>
        </w:tc>
      </w:tr>
      <w:tr w:rsidR="00D35FCA" w:rsidRPr="0005631D" w:rsidTr="00D35FCA">
        <w:tblPrEx>
          <w:tblLook w:val="0000"/>
        </w:tblPrEx>
        <w:trPr>
          <w:trHeight w:val="254"/>
        </w:trPr>
        <w:tc>
          <w:tcPr>
            <w:tcW w:w="525" w:type="dxa"/>
          </w:tcPr>
          <w:p w:rsidR="00D35FCA" w:rsidRPr="000F3C71" w:rsidRDefault="00D35FCA" w:rsidP="00D35FCA">
            <w:pPr>
              <w:rPr>
                <w:rFonts w:ascii="Times New Roman" w:hAnsi="Times New Roman" w:cs="Times New Roman"/>
              </w:rPr>
            </w:pPr>
            <w:r w:rsidRPr="000F3C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0" w:type="dxa"/>
            <w:gridSpan w:val="2"/>
          </w:tcPr>
          <w:p w:rsidR="00D35FCA" w:rsidRPr="000F3C71" w:rsidRDefault="00D35FCA" w:rsidP="00D35FC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Kobyakov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D.S.,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Avdalyan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A.M.,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Lazarev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A.F.,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Lushnikova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E.L.,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Nepomnyashchikh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L.M.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Argyrophilic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nucleolar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organizer region in mib-1 positive cells in non-small cell lung cancer: </w:t>
            </w:r>
            <w:proofErr w:type="spellStart"/>
            <w:r w:rsidRPr="000F3C71">
              <w:rPr>
                <w:rFonts w:ascii="Times New Roman" w:hAnsi="Times New Roman" w:cs="Times New Roman"/>
                <w:bCs/>
                <w:lang w:val="en-US"/>
              </w:rPr>
              <w:t>clinicopathological</w:t>
            </w:r>
            <w:proofErr w:type="spellEnd"/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 significance and survival // Cancer Biology and Medicine. - 2014. - </w:t>
            </w:r>
            <w:r w:rsidRPr="000F3C71">
              <w:rPr>
                <w:rFonts w:ascii="Times New Roman" w:hAnsi="Times New Roman" w:cs="Times New Roman"/>
                <w:bCs/>
              </w:rPr>
              <w:t>Т</w:t>
            </w:r>
            <w:r w:rsidRPr="000F3C71">
              <w:rPr>
                <w:rFonts w:ascii="Times New Roman" w:hAnsi="Times New Roman" w:cs="Times New Roman"/>
                <w:bCs/>
                <w:lang w:val="en-US"/>
              </w:rPr>
              <w:t xml:space="preserve">. 11, № 4. - </w:t>
            </w:r>
            <w:proofErr w:type="gramStart"/>
            <w:r w:rsidRPr="000F3C71">
              <w:rPr>
                <w:rFonts w:ascii="Times New Roman" w:hAnsi="Times New Roman" w:cs="Times New Roman"/>
                <w:bCs/>
              </w:rPr>
              <w:t>С</w:t>
            </w:r>
            <w:r w:rsidRPr="000F3C71">
              <w:rPr>
                <w:rFonts w:ascii="Times New Roman" w:hAnsi="Times New Roman" w:cs="Times New Roman"/>
                <w:bCs/>
                <w:lang w:val="en-US"/>
              </w:rPr>
              <w:t>. 264</w:t>
            </w:r>
            <w:proofErr w:type="gramEnd"/>
            <w:r w:rsidRPr="000F3C71">
              <w:rPr>
                <w:rFonts w:ascii="Times New Roman" w:hAnsi="Times New Roman" w:cs="Times New Roman"/>
                <w:bCs/>
                <w:lang w:val="en-US"/>
              </w:rPr>
              <w:t>-269.</w:t>
            </w:r>
          </w:p>
        </w:tc>
      </w:tr>
    </w:tbl>
    <w:p w:rsidR="00A93376" w:rsidRPr="0005631D" w:rsidRDefault="00A9337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A93376" w:rsidRPr="0005631D" w:rsidSect="0067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D07"/>
    <w:multiLevelType w:val="multilevel"/>
    <w:tmpl w:val="F0F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32ED6"/>
    <w:multiLevelType w:val="multilevel"/>
    <w:tmpl w:val="08A61CC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03B6F"/>
    <w:multiLevelType w:val="hybridMultilevel"/>
    <w:tmpl w:val="E1EA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71BE"/>
    <w:rsid w:val="0005631D"/>
    <w:rsid w:val="0007222D"/>
    <w:rsid w:val="00090FE0"/>
    <w:rsid w:val="000F054B"/>
    <w:rsid w:val="000F3C71"/>
    <w:rsid w:val="00156050"/>
    <w:rsid w:val="00224B0F"/>
    <w:rsid w:val="00284085"/>
    <w:rsid w:val="003D7C06"/>
    <w:rsid w:val="004837BC"/>
    <w:rsid w:val="004A5AD8"/>
    <w:rsid w:val="004D3D54"/>
    <w:rsid w:val="004D6B72"/>
    <w:rsid w:val="00500F7E"/>
    <w:rsid w:val="006761AB"/>
    <w:rsid w:val="00704050"/>
    <w:rsid w:val="00757A82"/>
    <w:rsid w:val="00846D95"/>
    <w:rsid w:val="0091323F"/>
    <w:rsid w:val="00942078"/>
    <w:rsid w:val="009669DB"/>
    <w:rsid w:val="00A93376"/>
    <w:rsid w:val="00B65E05"/>
    <w:rsid w:val="00B73865"/>
    <w:rsid w:val="00B90998"/>
    <w:rsid w:val="00C3761A"/>
    <w:rsid w:val="00CE71BE"/>
    <w:rsid w:val="00D35FCA"/>
    <w:rsid w:val="00D6350E"/>
    <w:rsid w:val="00DE0431"/>
    <w:rsid w:val="00EE6166"/>
    <w:rsid w:val="00F8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0E"/>
  </w:style>
  <w:style w:type="paragraph" w:styleId="1">
    <w:name w:val="heading 1"/>
    <w:basedOn w:val="a"/>
    <w:link w:val="10"/>
    <w:uiPriority w:val="9"/>
    <w:qFormat/>
    <w:rsid w:val="00846D95"/>
    <w:pPr>
      <w:spacing w:before="30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58220"/>
      <w:kern w:val="36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846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95"/>
    <w:rPr>
      <w:rFonts w:ascii="Times New Roman" w:eastAsia="Times New Roman" w:hAnsi="Times New Roman" w:cs="Times New Roman"/>
      <w:b/>
      <w:bCs/>
      <w:color w:val="F58220"/>
      <w:kern w:val="36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D95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styleId="a3">
    <w:name w:val="Emphasis"/>
    <w:basedOn w:val="a0"/>
    <w:uiPriority w:val="20"/>
    <w:qFormat/>
    <w:rsid w:val="00846D95"/>
    <w:rPr>
      <w:i/>
      <w:iCs/>
    </w:rPr>
  </w:style>
  <w:style w:type="paragraph" w:styleId="a4">
    <w:name w:val="Normal (Web)"/>
    <w:basedOn w:val="a"/>
    <w:uiPriority w:val="99"/>
    <w:semiHidden/>
    <w:unhideWhenUsed/>
    <w:rsid w:val="0084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1850">
                  <w:marLeft w:val="48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7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6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FB8C-C8AE-4465-876B-294E2167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tickaya</cp:lastModifiedBy>
  <cp:revision>2</cp:revision>
  <dcterms:created xsi:type="dcterms:W3CDTF">2018-04-02T03:05:00Z</dcterms:created>
  <dcterms:modified xsi:type="dcterms:W3CDTF">2018-04-02T03:05:00Z</dcterms:modified>
</cp:coreProperties>
</file>